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C61F" w14:textId="203C8E56" w:rsidR="006D758A" w:rsidRPr="00D54290" w:rsidRDefault="006D758A" w:rsidP="000D1B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54290">
        <w:rPr>
          <w:rFonts w:ascii="Arial" w:hAnsi="Arial" w:cs="Arial"/>
          <w:sz w:val="28"/>
          <w:szCs w:val="28"/>
        </w:rPr>
        <w:t>County Economic Profile</w:t>
      </w:r>
      <w:r w:rsidR="00A914C9" w:rsidRPr="00D54290">
        <w:rPr>
          <w:rFonts w:ascii="Arial" w:hAnsi="Arial" w:cs="Arial"/>
          <w:sz w:val="28"/>
          <w:szCs w:val="28"/>
        </w:rPr>
        <w:t>s</w:t>
      </w:r>
    </w:p>
    <w:p w14:paraId="4FCE6648" w14:textId="15EC8595" w:rsidR="006D758A" w:rsidRDefault="006D758A" w:rsidP="000D1B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54290">
        <w:rPr>
          <w:rFonts w:ascii="Arial" w:hAnsi="Arial" w:cs="Arial"/>
          <w:sz w:val="28"/>
          <w:szCs w:val="28"/>
        </w:rPr>
        <w:t xml:space="preserve">Frequently Asked Questions by </w:t>
      </w:r>
      <w:r w:rsidR="000D1BD8" w:rsidRPr="00D54290">
        <w:rPr>
          <w:rFonts w:ascii="Arial" w:hAnsi="Arial" w:cs="Arial"/>
          <w:sz w:val="28"/>
          <w:szCs w:val="28"/>
        </w:rPr>
        <w:t>Visualization</w:t>
      </w:r>
    </w:p>
    <w:p w14:paraId="2DCD5383" w14:textId="39098CC6" w:rsidR="00B005CE" w:rsidRDefault="00B005CE" w:rsidP="00B00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3E4C0D8" w14:textId="77777777" w:rsidR="00B005CE" w:rsidRPr="00D54290" w:rsidRDefault="00B005CE" w:rsidP="00B00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 xml:space="preserve">1. Am I able to get a </w:t>
      </w:r>
      <w:r>
        <w:rPr>
          <w:rFonts w:ascii="Arial" w:hAnsi="Arial" w:cs="Arial"/>
        </w:rPr>
        <w:t>PDF</w:t>
      </w:r>
      <w:r w:rsidRPr="00D54290">
        <w:rPr>
          <w:rFonts w:ascii="Arial" w:hAnsi="Arial" w:cs="Arial"/>
        </w:rPr>
        <w:t xml:space="preserve"> version of the report?</w:t>
      </w:r>
    </w:p>
    <w:p w14:paraId="3E6A6D02" w14:textId="26CD696A" w:rsidR="00B005CE" w:rsidRPr="00B005CE" w:rsidRDefault="00B005CE" w:rsidP="00B005CE">
      <w:pPr>
        <w:rPr>
          <w:rFonts w:ascii="Arial" w:hAnsi="Arial" w:cs="Arial"/>
        </w:rPr>
      </w:pPr>
      <w:r w:rsidRPr="00D54290">
        <w:rPr>
          <w:rFonts w:ascii="Arial" w:hAnsi="Arial" w:cs="Arial"/>
        </w:rPr>
        <w:t xml:space="preserve">Unfortunately, we are no longer able to provide </w:t>
      </w:r>
      <w:r>
        <w:rPr>
          <w:rFonts w:ascii="Arial" w:hAnsi="Arial" w:cs="Arial"/>
        </w:rPr>
        <w:t>PDF</w:t>
      </w:r>
      <w:r w:rsidRPr="00D54290">
        <w:rPr>
          <w:rFonts w:ascii="Arial" w:hAnsi="Arial" w:cs="Arial"/>
        </w:rPr>
        <w:t xml:space="preserve"> versions of the County Economic </w:t>
      </w:r>
      <w:r>
        <w:rPr>
          <w:rFonts w:ascii="Arial" w:hAnsi="Arial" w:cs="Arial"/>
        </w:rPr>
        <w:t>Profiles.</w:t>
      </w:r>
      <w:r w:rsidRPr="00D54290">
        <w:rPr>
          <w:rFonts w:ascii="Arial" w:hAnsi="Arial" w:cs="Arial"/>
        </w:rPr>
        <w:t xml:space="preserve"> However, you </w:t>
      </w:r>
      <w:r w:rsidR="00283784">
        <w:rPr>
          <w:rFonts w:ascii="Arial" w:hAnsi="Arial" w:cs="Arial"/>
        </w:rPr>
        <w:t>can</w:t>
      </w:r>
      <w:r w:rsidRPr="00D54290">
        <w:rPr>
          <w:rFonts w:ascii="Arial" w:hAnsi="Arial" w:cs="Arial"/>
        </w:rPr>
        <w:t xml:space="preserve"> download a </w:t>
      </w:r>
      <w:r>
        <w:rPr>
          <w:rFonts w:ascii="Arial" w:hAnsi="Arial" w:cs="Arial"/>
        </w:rPr>
        <w:t>PDF</w:t>
      </w:r>
      <w:r w:rsidRPr="00D54290">
        <w:rPr>
          <w:rFonts w:ascii="Arial" w:hAnsi="Arial" w:cs="Arial"/>
        </w:rPr>
        <w:t xml:space="preserve"> of any visualization you choose. At the bottom right of each visualization, there is a download button where you can download the visualization as a </w:t>
      </w:r>
      <w:r>
        <w:rPr>
          <w:rFonts w:ascii="Arial" w:hAnsi="Arial" w:cs="Arial"/>
        </w:rPr>
        <w:t>PDF</w:t>
      </w:r>
      <w:r w:rsidRPr="00D54290">
        <w:rPr>
          <w:rFonts w:ascii="Arial" w:hAnsi="Arial" w:cs="Arial"/>
        </w:rPr>
        <w:t xml:space="preserve">. Before you download it, make sure you have made all the selections on the visualization that you require as you will not be able to make selections on the </w:t>
      </w:r>
      <w:r>
        <w:rPr>
          <w:rFonts w:ascii="Arial" w:hAnsi="Arial" w:cs="Arial"/>
        </w:rPr>
        <w:t>PDF</w:t>
      </w:r>
      <w:r w:rsidRPr="00D54290">
        <w:rPr>
          <w:rFonts w:ascii="Arial" w:hAnsi="Arial" w:cs="Arial"/>
        </w:rPr>
        <w:t xml:space="preserve">. Please see the accompanying County Economic Profile Desk Aid for more detailed instructions. </w:t>
      </w:r>
    </w:p>
    <w:p w14:paraId="72659CFE" w14:textId="77777777" w:rsidR="00370872" w:rsidRPr="00D54290" w:rsidRDefault="00370872" w:rsidP="000D1B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C36BBE3" w14:textId="52E87470" w:rsidR="006D758A" w:rsidRPr="00D54290" w:rsidRDefault="00370872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4290">
        <w:rPr>
          <w:rFonts w:ascii="Arial" w:hAnsi="Arial" w:cs="Arial"/>
          <w:b/>
          <w:bCs/>
          <w:sz w:val="24"/>
          <w:szCs w:val="24"/>
          <w:u w:val="single"/>
        </w:rPr>
        <w:t>Annual Employment Percent by Industry</w:t>
      </w:r>
    </w:p>
    <w:p w14:paraId="1D1ADA97" w14:textId="77777777" w:rsidR="00370872" w:rsidRPr="00D54290" w:rsidRDefault="00370872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D2C43D" w14:textId="3AC7C69A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1. Why are there industries that have no percentages?</w:t>
      </w:r>
    </w:p>
    <w:p w14:paraId="22BF2AA9" w14:textId="7C02ECB8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To maintain confidentiality, the U.S. Census Bureau published data are industry aggregates</w:t>
      </w:r>
    </w:p>
    <w:p w14:paraId="1AD44859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designed to prevent identification of individual firms. In cases where firm disclosure is at risk</w:t>
      </w:r>
    </w:p>
    <w:p w14:paraId="5CE84596" w14:textId="27CA9D3E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data is suppressed.</w:t>
      </w:r>
    </w:p>
    <w:p w14:paraId="22FF1922" w14:textId="2F73FD60" w:rsidR="00370872" w:rsidRPr="00D54290" w:rsidRDefault="00370872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C256B" w14:textId="77777777" w:rsidR="00370872" w:rsidRPr="00D54290" w:rsidRDefault="00370872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C281BA" w14:textId="121BFE16" w:rsidR="006D758A" w:rsidRPr="00D54290" w:rsidRDefault="004E7D41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4290">
        <w:rPr>
          <w:rFonts w:ascii="Arial" w:hAnsi="Arial" w:cs="Arial"/>
          <w:b/>
          <w:bCs/>
          <w:sz w:val="24"/>
          <w:szCs w:val="24"/>
          <w:u w:val="single"/>
        </w:rPr>
        <w:t>Online Job Postings</w:t>
      </w:r>
    </w:p>
    <w:p w14:paraId="56EF3AAD" w14:textId="77777777" w:rsidR="004E7D41" w:rsidRPr="00D54290" w:rsidRDefault="004E7D41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F7AE8A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1. Can the job postings data be used to analyze historical trends?</w:t>
      </w:r>
    </w:p>
    <w:p w14:paraId="28E93E3D" w14:textId="00BE3329" w:rsidR="006D758A" w:rsidRPr="00D54290" w:rsidRDefault="00A57A1E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Starting in 2020, </w:t>
      </w:r>
      <w:r w:rsidR="006D758A" w:rsidRPr="00D54290">
        <w:rPr>
          <w:rFonts w:ascii="Arial" w:hAnsi="Arial" w:cs="Arial"/>
        </w:rPr>
        <w:t>TalentNeuron Gartner</w:t>
      </w:r>
      <w:r w:rsidR="00C43294" w:rsidRPr="00D54290">
        <w:rPr>
          <w:rFonts w:ascii="Arial" w:hAnsi="Arial" w:cs="Arial"/>
        </w:rPr>
        <w:t>™</w:t>
      </w:r>
      <w:r w:rsidR="006D758A" w:rsidRPr="00D54290">
        <w:rPr>
          <w:rFonts w:ascii="Arial" w:hAnsi="Arial" w:cs="Arial"/>
        </w:rPr>
        <w:t>, a global</w:t>
      </w:r>
      <w:r w:rsidR="00507B75" w:rsidRPr="00D54290">
        <w:rPr>
          <w:rFonts w:ascii="Arial" w:hAnsi="Arial" w:cs="Arial"/>
        </w:rPr>
        <w:t xml:space="preserve"> </w:t>
      </w:r>
      <w:r w:rsidR="006D758A" w:rsidRPr="00D54290">
        <w:rPr>
          <w:rFonts w:ascii="Arial" w:hAnsi="Arial" w:cs="Arial"/>
        </w:rPr>
        <w:t>research and advisory company</w:t>
      </w:r>
      <w:r w:rsidR="00112D0E">
        <w:rPr>
          <w:rFonts w:ascii="Arial" w:hAnsi="Arial" w:cs="Arial"/>
        </w:rPr>
        <w:t xml:space="preserve">, began providing </w:t>
      </w:r>
      <w:r w:rsidR="0009574B">
        <w:rPr>
          <w:rFonts w:ascii="Arial" w:hAnsi="Arial" w:cs="Arial"/>
        </w:rPr>
        <w:t xml:space="preserve">the Online Job Postings reports. </w:t>
      </w:r>
      <w:r w:rsidR="00F524E6">
        <w:rPr>
          <w:rFonts w:ascii="Arial" w:hAnsi="Arial" w:cs="Arial"/>
        </w:rPr>
        <w:t xml:space="preserve"> Because of the change of source and </w:t>
      </w:r>
      <w:r w:rsidR="00586F69">
        <w:rPr>
          <w:rFonts w:ascii="Arial" w:hAnsi="Arial" w:cs="Arial"/>
        </w:rPr>
        <w:t xml:space="preserve">the </w:t>
      </w:r>
      <w:r w:rsidR="00F524E6">
        <w:rPr>
          <w:rFonts w:ascii="Arial" w:hAnsi="Arial" w:cs="Arial"/>
        </w:rPr>
        <w:t xml:space="preserve">method for collecting the </w:t>
      </w:r>
      <w:r w:rsidR="008C689F">
        <w:rPr>
          <w:rFonts w:ascii="Arial" w:hAnsi="Arial" w:cs="Arial"/>
        </w:rPr>
        <w:t xml:space="preserve">job postings data, the current </w:t>
      </w:r>
      <w:r w:rsidR="00586F69">
        <w:rPr>
          <w:rFonts w:ascii="Arial" w:hAnsi="Arial" w:cs="Arial"/>
        </w:rPr>
        <w:t xml:space="preserve">reports </w:t>
      </w:r>
      <w:r w:rsidR="008C689F">
        <w:rPr>
          <w:rFonts w:ascii="Arial" w:hAnsi="Arial" w:cs="Arial"/>
        </w:rPr>
        <w:t xml:space="preserve">cannot be compared to </w:t>
      </w:r>
      <w:r w:rsidR="00586F69">
        <w:rPr>
          <w:rFonts w:ascii="Arial" w:hAnsi="Arial" w:cs="Arial"/>
        </w:rPr>
        <w:t xml:space="preserve">reports </w:t>
      </w:r>
      <w:r w:rsidR="008C689F">
        <w:rPr>
          <w:rFonts w:ascii="Arial" w:hAnsi="Arial" w:cs="Arial"/>
        </w:rPr>
        <w:t>prior to May 2020.</w:t>
      </w:r>
    </w:p>
    <w:p w14:paraId="256AC213" w14:textId="0BA40A21" w:rsidR="001263D4" w:rsidRPr="00D54290" w:rsidRDefault="001263D4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254272" w14:textId="67773821" w:rsidR="001263D4" w:rsidRPr="00D54290" w:rsidRDefault="001263D4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 xml:space="preserve">2. Why </w:t>
      </w:r>
      <w:r w:rsidR="00FA0C75" w:rsidRPr="00D54290">
        <w:rPr>
          <w:rFonts w:ascii="Arial" w:hAnsi="Arial" w:cs="Arial"/>
        </w:rPr>
        <w:t>are the 2021 Online Job Postings sorted by Function rather than Industry like the 2020 data?</w:t>
      </w:r>
    </w:p>
    <w:p w14:paraId="2A412448" w14:textId="1BBD5E06" w:rsidR="00FA0C75" w:rsidRPr="00D54290" w:rsidRDefault="00C43294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 xml:space="preserve">TalentNeuron Gartner™ </w:t>
      </w:r>
      <w:r w:rsidR="004405E9" w:rsidRPr="00D54290">
        <w:rPr>
          <w:rFonts w:ascii="Arial" w:hAnsi="Arial" w:cs="Arial"/>
        </w:rPr>
        <w:t>now classifies job</w:t>
      </w:r>
      <w:r w:rsidR="0003339D">
        <w:rPr>
          <w:rFonts w:ascii="Arial" w:hAnsi="Arial" w:cs="Arial"/>
        </w:rPr>
        <w:t>s</w:t>
      </w:r>
      <w:r w:rsidR="004405E9" w:rsidRPr="00D54290">
        <w:rPr>
          <w:rFonts w:ascii="Arial" w:hAnsi="Arial" w:cs="Arial"/>
        </w:rPr>
        <w:t xml:space="preserve"> by function rather than industry</w:t>
      </w:r>
      <w:r w:rsidR="00115044" w:rsidRPr="00D54290">
        <w:rPr>
          <w:rFonts w:ascii="Arial" w:hAnsi="Arial" w:cs="Arial"/>
        </w:rPr>
        <w:t xml:space="preserve">. Going forward, we will only be able to </w:t>
      </w:r>
      <w:r w:rsidR="008E47B2" w:rsidRPr="00D54290">
        <w:rPr>
          <w:rFonts w:ascii="Arial" w:hAnsi="Arial" w:cs="Arial"/>
        </w:rPr>
        <w:t xml:space="preserve">provide Online Job Postings by </w:t>
      </w:r>
      <w:r w:rsidR="0003339D">
        <w:rPr>
          <w:rFonts w:ascii="Arial" w:hAnsi="Arial" w:cs="Arial"/>
        </w:rPr>
        <w:t>f</w:t>
      </w:r>
      <w:r w:rsidR="008E47B2" w:rsidRPr="00D54290">
        <w:rPr>
          <w:rFonts w:ascii="Arial" w:hAnsi="Arial" w:cs="Arial"/>
        </w:rPr>
        <w:t>unction.</w:t>
      </w:r>
    </w:p>
    <w:p w14:paraId="2B64E08D" w14:textId="77777777" w:rsidR="00C30F51" w:rsidRPr="00D54290" w:rsidRDefault="00C30F51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19ECD4" w14:textId="1CC39ADE" w:rsidR="00C30F51" w:rsidRPr="00D54290" w:rsidRDefault="00C30F51" w:rsidP="00C30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4290">
        <w:rPr>
          <w:rFonts w:ascii="Arial" w:hAnsi="Arial" w:cs="Arial"/>
          <w:b/>
          <w:bCs/>
          <w:sz w:val="24"/>
          <w:szCs w:val="24"/>
          <w:u w:val="single"/>
        </w:rPr>
        <w:t>High School Enrollment</w:t>
      </w:r>
    </w:p>
    <w:p w14:paraId="242E5592" w14:textId="77777777" w:rsidR="00EE46B5" w:rsidRPr="00D54290" w:rsidRDefault="00EE46B5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DF9A1B" w14:textId="4E86CB33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1. How are K-12 backpacks migrated to a core or regular account?</w:t>
      </w:r>
    </w:p>
    <w:p w14:paraId="6827D626" w14:textId="2095870D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When students create their backpack, they indicate their graduation year. The system will</w:t>
      </w:r>
    </w:p>
    <w:p w14:paraId="5B4F4F90" w14:textId="1719064D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automatically migrate the account to core in July of the graduation year noted.</w:t>
      </w:r>
    </w:p>
    <w:p w14:paraId="36136EAC" w14:textId="77777777" w:rsidR="00C30F51" w:rsidRPr="00D54290" w:rsidRDefault="00C30F51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AC2666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2. When does the system migrate a backpack to a core account?</w:t>
      </w:r>
    </w:p>
    <w:p w14:paraId="4349DDCA" w14:textId="236ABC5D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Backpacks are migrated to a core account in July of the graduation year noted when the</w:t>
      </w:r>
    </w:p>
    <w:p w14:paraId="03CE53D8" w14:textId="228986E4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backpack was created.</w:t>
      </w:r>
    </w:p>
    <w:p w14:paraId="11089A78" w14:textId="77777777" w:rsidR="00C30F51" w:rsidRPr="00D54290" w:rsidRDefault="00C30F51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73478F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3. Why are the number of migrated accounts greater than the number of enrolled seniors?</w:t>
      </w:r>
    </w:p>
    <w:p w14:paraId="6A8CF45D" w14:textId="50C90FEE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The number of migrated accounts can be greater than the number of enrolled seniors for a</w:t>
      </w:r>
    </w:p>
    <w:p w14:paraId="3C879590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couple of reasons. One, there are duplicate accounts in the K-12 registry which will inflate the</w:t>
      </w:r>
    </w:p>
    <w:p w14:paraId="38817FDE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number of K-12 accounts. Second, the enrollment count from the Ohio Department of</w:t>
      </w:r>
    </w:p>
    <w:p w14:paraId="5B133739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Education includes full time equivalent enrollments only. That means the ODE count could</w:t>
      </w:r>
    </w:p>
    <w:p w14:paraId="0B3A5BCE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underrepresent the actual number of students in those instances where a student is attending</w:t>
      </w:r>
    </w:p>
    <w:p w14:paraId="58E095FF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less than full-time. For example, if 20 high school seniors attend high school half day (.5 FTE</w:t>
      </w:r>
    </w:p>
    <w:p w14:paraId="3AE73F43" w14:textId="07D28689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each), it counts as 10 students in our report.</w:t>
      </w:r>
    </w:p>
    <w:p w14:paraId="327FF90E" w14:textId="77777777" w:rsidR="00955E40" w:rsidRPr="00D54290" w:rsidRDefault="00955E40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B91C9E" w14:textId="1A7F7182" w:rsidR="00955E40" w:rsidRPr="00D54290" w:rsidRDefault="00955E40" w:rsidP="00955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4290">
        <w:rPr>
          <w:rFonts w:ascii="Arial" w:hAnsi="Arial" w:cs="Arial"/>
          <w:b/>
          <w:bCs/>
          <w:sz w:val="24"/>
          <w:szCs w:val="24"/>
          <w:u w:val="single"/>
        </w:rPr>
        <w:t>Local Area Talent Report</w:t>
      </w:r>
    </w:p>
    <w:p w14:paraId="26324A51" w14:textId="77777777" w:rsidR="00955E40" w:rsidRPr="00D54290" w:rsidRDefault="00955E40" w:rsidP="00955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83938B" w14:textId="24D210D9" w:rsidR="006D758A" w:rsidRPr="00D54290" w:rsidRDefault="00E712D0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 xml:space="preserve">1. </w:t>
      </w:r>
      <w:r w:rsidR="006D758A" w:rsidRPr="00D54290">
        <w:rPr>
          <w:rFonts w:ascii="Arial" w:hAnsi="Arial" w:cs="Arial"/>
        </w:rPr>
        <w:t>How are the number of resumes per county determined?</w:t>
      </w:r>
    </w:p>
    <w:p w14:paraId="79C0284A" w14:textId="7259C0D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The count of resumes by county varies depending on the group, but it is based on information</w:t>
      </w:r>
    </w:p>
    <w:p w14:paraId="5BD69531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entered during account registration. It also includes additional information about where</w:t>
      </w:r>
    </w:p>
    <w:p w14:paraId="522671CF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registrants are willing to relocate. During the registration process, enrollees can identify as a</w:t>
      </w:r>
    </w:p>
    <w:p w14:paraId="27E8F974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lastRenderedPageBreak/>
        <w:t>veteran and/or an individual with a disability. Regarding restored citizens, the count is based on</w:t>
      </w:r>
    </w:p>
    <w:p w14:paraId="2FB69628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the home/returning address provided by incarcerated individuals when the account was</w:t>
      </w:r>
    </w:p>
    <w:p w14:paraId="0AAB4D28" w14:textId="77777777" w:rsidR="006D758A" w:rsidRPr="00D54290" w:rsidRDefault="006D758A" w:rsidP="006D7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4290">
        <w:rPr>
          <w:rFonts w:ascii="Arial" w:hAnsi="Arial" w:cs="Arial"/>
        </w:rPr>
        <w:t>registered, and the release or parole hearing date is for the same year the county economic</w:t>
      </w:r>
    </w:p>
    <w:p w14:paraId="72EA73E1" w14:textId="5AD8C4B4" w:rsidR="00F23043" w:rsidRPr="00D54290" w:rsidRDefault="006D758A" w:rsidP="006D758A">
      <w:pPr>
        <w:rPr>
          <w:rFonts w:ascii="Arial" w:hAnsi="Arial" w:cs="Arial"/>
        </w:rPr>
      </w:pPr>
      <w:r w:rsidRPr="00D54290">
        <w:rPr>
          <w:rFonts w:ascii="Arial" w:hAnsi="Arial" w:cs="Arial"/>
        </w:rPr>
        <w:t>profile report is published.</w:t>
      </w:r>
    </w:p>
    <w:p w14:paraId="48FF1145" w14:textId="7C4662C6" w:rsidR="00600BF5" w:rsidRPr="00D54290" w:rsidRDefault="00600BF5" w:rsidP="006D758A">
      <w:pPr>
        <w:rPr>
          <w:rFonts w:ascii="Arial" w:hAnsi="Arial" w:cs="Arial"/>
        </w:rPr>
      </w:pPr>
    </w:p>
    <w:p w14:paraId="26AF614E" w14:textId="75A64293" w:rsidR="00E712D0" w:rsidRPr="00D54290" w:rsidRDefault="00E712D0" w:rsidP="00E712D0">
      <w:pPr>
        <w:rPr>
          <w:rFonts w:ascii="Arial" w:hAnsi="Arial" w:cs="Arial"/>
        </w:rPr>
      </w:pPr>
    </w:p>
    <w:sectPr w:rsidR="00E712D0" w:rsidRPr="00D5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033"/>
    <w:multiLevelType w:val="hybridMultilevel"/>
    <w:tmpl w:val="BF0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95C"/>
    <w:multiLevelType w:val="hybridMultilevel"/>
    <w:tmpl w:val="14123490"/>
    <w:lvl w:ilvl="0" w:tplc="74CC1F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A"/>
    <w:rsid w:val="0003339D"/>
    <w:rsid w:val="0009574B"/>
    <w:rsid w:val="000D1BD8"/>
    <w:rsid w:val="00112D0E"/>
    <w:rsid w:val="00115044"/>
    <w:rsid w:val="001263D4"/>
    <w:rsid w:val="00283784"/>
    <w:rsid w:val="00370872"/>
    <w:rsid w:val="004405E9"/>
    <w:rsid w:val="004E7D41"/>
    <w:rsid w:val="00507B75"/>
    <w:rsid w:val="005627F9"/>
    <w:rsid w:val="00563502"/>
    <w:rsid w:val="00586F69"/>
    <w:rsid w:val="00600BF5"/>
    <w:rsid w:val="00646062"/>
    <w:rsid w:val="00650BFC"/>
    <w:rsid w:val="006B6EBB"/>
    <w:rsid w:val="006D6F26"/>
    <w:rsid w:val="006D758A"/>
    <w:rsid w:val="00790E94"/>
    <w:rsid w:val="007C37AE"/>
    <w:rsid w:val="008C689F"/>
    <w:rsid w:val="008E47B2"/>
    <w:rsid w:val="00955E40"/>
    <w:rsid w:val="009E55EE"/>
    <w:rsid w:val="009F1444"/>
    <w:rsid w:val="00A57A1E"/>
    <w:rsid w:val="00A914C9"/>
    <w:rsid w:val="00B005CE"/>
    <w:rsid w:val="00BD2E8F"/>
    <w:rsid w:val="00C150A3"/>
    <w:rsid w:val="00C30F51"/>
    <w:rsid w:val="00C43294"/>
    <w:rsid w:val="00C460D0"/>
    <w:rsid w:val="00D54290"/>
    <w:rsid w:val="00E712D0"/>
    <w:rsid w:val="00EC06FA"/>
    <w:rsid w:val="00EE46B5"/>
    <w:rsid w:val="00F23043"/>
    <w:rsid w:val="00F524E6"/>
    <w:rsid w:val="00FA0C75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C917"/>
  <w15:chartTrackingRefBased/>
  <w15:docId w15:val="{4586D726-B650-4D14-B39D-EF3D7ED1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Job and Family Services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Larissa</dc:creator>
  <cp:keywords/>
  <dc:description/>
  <cp:lastModifiedBy>Hall, Larissa</cp:lastModifiedBy>
  <cp:revision>3</cp:revision>
  <dcterms:created xsi:type="dcterms:W3CDTF">2022-08-05T14:05:00Z</dcterms:created>
  <dcterms:modified xsi:type="dcterms:W3CDTF">2022-08-05T14:05:00Z</dcterms:modified>
</cp:coreProperties>
</file>